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英吉沙县</w:t>
      </w:r>
      <w:r>
        <w:rPr>
          <w:rFonts w:hint="eastAsia" w:asciiTheme="majorEastAsia" w:hAnsiTheme="majorEastAsia" w:eastAsiaTheme="majorEastAsia" w:cstheme="majorEastAsia"/>
          <w:b/>
          <w:bCs/>
          <w:sz w:val="36"/>
          <w:szCs w:val="36"/>
          <w:lang w:eastAsia="zh-CN"/>
        </w:rPr>
        <w:t>维吾尔医</w:t>
      </w:r>
      <w:r>
        <w:rPr>
          <w:rFonts w:hint="eastAsia" w:asciiTheme="majorEastAsia" w:hAnsiTheme="majorEastAsia" w:eastAsiaTheme="majorEastAsia" w:cstheme="majorEastAsia"/>
          <w:b/>
          <w:bCs/>
          <w:sz w:val="36"/>
          <w:szCs w:val="36"/>
        </w:rPr>
        <w:t>医院2018年度</w:t>
      </w:r>
      <w:r>
        <w:rPr>
          <w:rFonts w:hint="eastAsia" w:asciiTheme="majorEastAsia" w:hAnsiTheme="majorEastAsia" w:eastAsiaTheme="majorEastAsia" w:cstheme="majorEastAsia"/>
          <w:b/>
          <w:bCs/>
          <w:sz w:val="36"/>
          <w:szCs w:val="36"/>
          <w:lang w:eastAsia="zh-CN"/>
        </w:rPr>
        <w:t>公立医院改革</w:t>
      </w:r>
      <w:r>
        <w:rPr>
          <w:rFonts w:hint="eastAsia" w:asciiTheme="majorEastAsia" w:hAnsiTheme="majorEastAsia" w:eastAsiaTheme="majorEastAsia" w:cstheme="majorEastAsia"/>
          <w:b/>
          <w:bCs/>
          <w:sz w:val="36"/>
          <w:szCs w:val="36"/>
        </w:rPr>
        <w:t>项目支出绩效自评报告</w:t>
      </w:r>
    </w:p>
    <w:p>
      <w:pPr>
        <w:adjustRightInd w:val="0"/>
        <w:snapToGrid w:val="0"/>
        <w:spacing w:line="560" w:lineRule="exact"/>
        <w:jc w:val="center"/>
        <w:rPr>
          <w:rFonts w:hint="eastAsia" w:asciiTheme="minorEastAsia" w:hAnsiTheme="minorEastAsia" w:eastAsiaTheme="minorEastAsia" w:cstheme="minorEastAsia"/>
          <w:b/>
          <w:bCs/>
          <w:sz w:val="40"/>
          <w:szCs w:val="40"/>
        </w:rPr>
      </w:pPr>
    </w:p>
    <w:p>
      <w:pPr>
        <w:adjustRightInd w:val="0"/>
        <w:snapToGrid w:val="0"/>
        <w:spacing w:line="560" w:lineRule="exact"/>
        <w:ind w:firstLine="627" w:firstLineChars="200"/>
        <w:outlineLvl w:val="0"/>
        <w:rPr>
          <w:rStyle w:val="19"/>
          <w:rFonts w:hint="eastAsia" w:asciiTheme="minorEastAsia" w:hAnsiTheme="minorEastAsia" w:eastAsiaTheme="minorEastAsia" w:cstheme="minorEastAsia"/>
          <w:spacing w:val="-4"/>
          <w:sz w:val="32"/>
          <w:szCs w:val="32"/>
        </w:rPr>
      </w:pPr>
      <w:r>
        <w:rPr>
          <w:rStyle w:val="19"/>
          <w:rFonts w:hint="eastAsia" w:asciiTheme="minorEastAsia" w:hAnsiTheme="minorEastAsia" w:eastAsiaTheme="minorEastAsia" w:cstheme="minorEastAsia"/>
          <w:spacing w:val="-4"/>
          <w:sz w:val="32"/>
          <w:szCs w:val="32"/>
        </w:rPr>
        <w:t>一</w:t>
      </w:r>
      <w:r>
        <w:rPr>
          <w:rStyle w:val="19"/>
          <w:rFonts w:hint="eastAsia" w:asciiTheme="minorEastAsia" w:hAnsiTheme="minorEastAsia" w:eastAsiaTheme="minorEastAsia" w:cstheme="minorEastAsia"/>
          <w:spacing w:val="-4"/>
          <w:sz w:val="32"/>
          <w:szCs w:val="32"/>
          <w:lang w:eastAsia="zh-CN"/>
        </w:rPr>
        <w:t>、</w:t>
      </w:r>
      <w:r>
        <w:rPr>
          <w:rStyle w:val="19"/>
          <w:rFonts w:hint="eastAsia" w:asciiTheme="minorEastAsia" w:hAnsiTheme="minorEastAsia" w:eastAsiaTheme="minorEastAsia" w:cstheme="minorEastAsia"/>
          <w:spacing w:val="-4"/>
          <w:sz w:val="32"/>
          <w:szCs w:val="32"/>
        </w:rPr>
        <w:t>项目单位基本情况</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我院属差额拨款的卫生事业单位，财政补助公立医院医改专项资金主要用于补偿药品零差率、弥补调整医疗服务价格；</w:t>
      </w:r>
    </w:p>
    <w:p>
      <w:pPr>
        <w:numPr>
          <w:ilvl w:val="0"/>
          <w:numId w:val="1"/>
        </w:numPr>
        <w:ind w:firstLine="562" w:firstLineChars="200"/>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项目支出资金安排及使用情况</w:t>
      </w:r>
    </w:p>
    <w:p>
      <w:pPr>
        <w:numPr>
          <w:ilvl w:val="0"/>
          <w:numId w:val="0"/>
        </w:num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本年度</w:t>
      </w:r>
      <w:r>
        <w:rPr>
          <w:rFonts w:hint="eastAsia" w:asciiTheme="minorEastAsia" w:hAnsiTheme="minorEastAsia" w:eastAsiaTheme="minorEastAsia" w:cstheme="minorEastAsia"/>
          <w:sz w:val="28"/>
          <w:szCs w:val="28"/>
          <w:lang w:eastAsia="zh-CN"/>
        </w:rPr>
        <w:t>县财政补助</w:t>
      </w:r>
      <w:r>
        <w:rPr>
          <w:rFonts w:hint="eastAsia" w:asciiTheme="minorEastAsia" w:hAnsiTheme="minorEastAsia" w:eastAsiaTheme="minorEastAsia" w:cstheme="minorEastAsia"/>
          <w:sz w:val="28"/>
          <w:szCs w:val="28"/>
        </w:rPr>
        <w:t>支付医改专项资金拨款</w:t>
      </w:r>
      <w:r>
        <w:rPr>
          <w:rFonts w:hint="eastAsia" w:asciiTheme="minorEastAsia" w:hAnsiTheme="minorEastAsia" w:eastAsiaTheme="minorEastAsia" w:cstheme="minorEastAsia"/>
          <w:sz w:val="28"/>
          <w:szCs w:val="28"/>
          <w:lang w:val="en-US" w:eastAsia="zh-CN"/>
        </w:rPr>
        <w:t>14.65</w:t>
      </w:r>
      <w:r>
        <w:rPr>
          <w:rFonts w:hint="eastAsia" w:asciiTheme="minorEastAsia" w:hAnsiTheme="minorEastAsia" w:eastAsiaTheme="minorEastAsia" w:cstheme="minorEastAsia"/>
          <w:sz w:val="28"/>
          <w:szCs w:val="28"/>
        </w:rPr>
        <w:t>万元，本年度因药品零差率减少药品收入</w:t>
      </w:r>
      <w:r>
        <w:rPr>
          <w:rFonts w:hint="eastAsia" w:asciiTheme="minorEastAsia" w:hAnsiTheme="minorEastAsia" w:eastAsiaTheme="minorEastAsia" w:cstheme="minorEastAsia"/>
          <w:sz w:val="28"/>
          <w:szCs w:val="28"/>
          <w:lang w:val="en-US" w:eastAsia="zh-CN"/>
        </w:rPr>
        <w:t>89.84</w:t>
      </w:r>
      <w:r>
        <w:rPr>
          <w:rFonts w:hint="eastAsia" w:asciiTheme="minorEastAsia" w:hAnsiTheme="minorEastAsia" w:eastAsiaTheme="minorEastAsia" w:cstheme="minorEastAsia"/>
          <w:sz w:val="28"/>
          <w:szCs w:val="28"/>
        </w:rPr>
        <w:t>万元，补偿率为</w:t>
      </w:r>
      <w:r>
        <w:rPr>
          <w:rFonts w:hint="eastAsia" w:asciiTheme="minorEastAsia" w:hAnsiTheme="minorEastAsia" w:eastAsiaTheme="minorEastAsia" w:cstheme="minorEastAsia"/>
          <w:sz w:val="28"/>
          <w:szCs w:val="28"/>
          <w:lang w:val="en-US" w:eastAsia="zh-CN"/>
        </w:rPr>
        <w:t>16.3</w:t>
      </w:r>
      <w:r>
        <w:rPr>
          <w:rFonts w:hint="eastAsia" w:asciiTheme="minorEastAsia" w:hAnsiTheme="minorEastAsia" w:eastAsiaTheme="minorEastAsia" w:cstheme="minorEastAsia"/>
          <w:sz w:val="28"/>
          <w:szCs w:val="28"/>
        </w:rPr>
        <w:t>%。</w:t>
      </w:r>
    </w:p>
    <w:p>
      <w:pPr>
        <w:adjustRightInd w:val="0"/>
        <w:snapToGrid w:val="0"/>
        <w:spacing w:line="560" w:lineRule="exact"/>
        <w:ind w:firstLine="627" w:firstLineChars="200"/>
        <w:rPr>
          <w:rFonts w:hint="eastAsia" w:asciiTheme="minorEastAsia" w:hAnsiTheme="minorEastAsia" w:eastAsiaTheme="minorEastAsia" w:cstheme="minorEastAsia"/>
          <w:b/>
          <w:bCs/>
          <w:spacing w:val="-4"/>
          <w:sz w:val="32"/>
          <w:szCs w:val="32"/>
        </w:rPr>
      </w:pPr>
      <w:r>
        <w:rPr>
          <w:rFonts w:hint="eastAsia" w:asciiTheme="minorEastAsia" w:hAnsiTheme="minorEastAsia" w:eastAsiaTheme="minorEastAsia" w:cstheme="minorEastAsia"/>
          <w:b/>
          <w:bCs/>
          <w:spacing w:val="-4"/>
          <w:sz w:val="32"/>
          <w:szCs w:val="32"/>
          <w:lang w:eastAsia="zh-CN"/>
        </w:rPr>
        <w:t>三、</w:t>
      </w:r>
      <w:r>
        <w:rPr>
          <w:rFonts w:hint="eastAsia" w:asciiTheme="minorEastAsia" w:hAnsiTheme="minorEastAsia" w:eastAsiaTheme="minorEastAsia" w:cstheme="minorEastAsia"/>
          <w:b/>
          <w:sz w:val="28"/>
          <w:szCs w:val="28"/>
        </w:rPr>
        <w:t>项目支出组织实施情况</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该项目属于补偿性资金，主要用于县级公立医院开展“破除以药补医，完善零差率销售”为内容的改革工作。实施过程均按照本单位制定的管理制度执行。</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本年度因药品零差率减少收入</w:t>
      </w:r>
      <w:r>
        <w:rPr>
          <w:rFonts w:hint="eastAsia" w:asciiTheme="minorEastAsia" w:hAnsiTheme="minorEastAsia" w:eastAsiaTheme="minorEastAsia" w:cstheme="minorEastAsia"/>
          <w:sz w:val="28"/>
          <w:szCs w:val="28"/>
          <w:lang w:val="en-US" w:eastAsia="zh-CN"/>
        </w:rPr>
        <w:t>89.84</w:t>
      </w:r>
      <w:r>
        <w:rPr>
          <w:rFonts w:hint="eastAsia" w:asciiTheme="minorEastAsia" w:hAnsiTheme="minorEastAsia" w:eastAsiaTheme="minorEastAsia" w:cstheme="minorEastAsia"/>
          <w:sz w:val="28"/>
          <w:szCs w:val="28"/>
        </w:rPr>
        <w:t>万元，</w:t>
      </w:r>
      <w:r>
        <w:rPr>
          <w:rFonts w:hint="eastAsia" w:asciiTheme="minorEastAsia" w:hAnsiTheme="minorEastAsia" w:eastAsiaTheme="minorEastAsia" w:cstheme="minorEastAsia"/>
          <w:sz w:val="28"/>
          <w:szCs w:val="28"/>
          <w:lang w:eastAsia="zh-CN"/>
        </w:rPr>
        <w:t>县财政实际</w:t>
      </w:r>
      <w:r>
        <w:rPr>
          <w:rFonts w:hint="eastAsia" w:asciiTheme="minorEastAsia" w:hAnsiTheme="minorEastAsia" w:eastAsiaTheme="minorEastAsia" w:cstheme="minorEastAsia"/>
          <w:sz w:val="28"/>
          <w:szCs w:val="28"/>
        </w:rPr>
        <w:t>补偿</w:t>
      </w:r>
      <w:r>
        <w:rPr>
          <w:rFonts w:hint="eastAsia" w:asciiTheme="minorEastAsia" w:hAnsiTheme="minorEastAsia" w:eastAsiaTheme="minorEastAsia" w:cstheme="minorEastAsia"/>
          <w:sz w:val="28"/>
          <w:szCs w:val="28"/>
          <w:lang w:val="en-US" w:eastAsia="zh-CN"/>
        </w:rPr>
        <w:t>1</w:t>
      </w:r>
      <w:bookmarkStart w:id="0" w:name="_GoBack"/>
      <w:bookmarkEnd w:id="0"/>
      <w:r>
        <w:rPr>
          <w:rFonts w:hint="eastAsia" w:asciiTheme="minorEastAsia" w:hAnsiTheme="minorEastAsia" w:eastAsiaTheme="minorEastAsia" w:cstheme="minorEastAsia"/>
          <w:sz w:val="28"/>
          <w:szCs w:val="28"/>
          <w:lang w:val="en-US" w:eastAsia="zh-CN"/>
        </w:rPr>
        <w:t>4.65</w:t>
      </w:r>
      <w:r>
        <w:rPr>
          <w:rFonts w:hint="eastAsia" w:asciiTheme="minorEastAsia" w:hAnsiTheme="minorEastAsia" w:eastAsiaTheme="minorEastAsia" w:cstheme="minorEastAsia"/>
          <w:sz w:val="28"/>
          <w:szCs w:val="28"/>
        </w:rPr>
        <w:t>万元</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医疗改革性补贴收入共计14.65万元。</w:t>
      </w:r>
    </w:p>
    <w:p>
      <w:pPr>
        <w:adjustRightInd w:val="0"/>
        <w:snapToGrid w:val="0"/>
        <w:spacing w:line="560" w:lineRule="exact"/>
        <w:ind w:firstLine="624" w:firstLineChars="200"/>
        <w:outlineLvl w:val="0"/>
        <w:rPr>
          <w:rStyle w:val="19"/>
          <w:rFonts w:hint="eastAsia" w:asciiTheme="minorEastAsia" w:hAnsiTheme="minorEastAsia" w:eastAsiaTheme="minorEastAsia" w:cstheme="minorEastAsia"/>
        </w:rPr>
      </w:pPr>
      <w:r>
        <w:rPr>
          <w:rStyle w:val="19"/>
          <w:rFonts w:hint="eastAsia" w:asciiTheme="minorEastAsia" w:hAnsiTheme="minorEastAsia" w:eastAsiaTheme="minorEastAsia" w:cstheme="minorEastAsia"/>
          <w:b w:val="0"/>
          <w:spacing w:val="-4"/>
          <w:sz w:val="32"/>
          <w:szCs w:val="32"/>
        </w:rPr>
        <w:t>四、项目绩效情况</w:t>
      </w:r>
    </w:p>
    <w:p>
      <w:pPr>
        <w:adjustRightInd w:val="0"/>
        <w:snapToGrid w:val="0"/>
        <w:spacing w:line="560" w:lineRule="exact"/>
        <w:ind w:firstLine="627" w:firstLineChars="200"/>
        <w:outlineLvl w:val="0"/>
        <w:rPr>
          <w:rFonts w:hint="eastAsia" w:asciiTheme="minorEastAsia" w:hAnsiTheme="minorEastAsia" w:eastAsiaTheme="minorEastAsia" w:cstheme="minorEastAsia"/>
          <w:b/>
          <w:spacing w:val="-4"/>
          <w:sz w:val="32"/>
          <w:szCs w:val="32"/>
        </w:rPr>
      </w:pPr>
      <w:r>
        <w:rPr>
          <w:rFonts w:hint="eastAsia" w:asciiTheme="minorEastAsia" w:hAnsiTheme="minorEastAsia" w:eastAsiaTheme="minorEastAsia" w:cstheme="minorEastAsia"/>
          <w:b/>
          <w:spacing w:val="-4"/>
          <w:sz w:val="32"/>
          <w:szCs w:val="32"/>
        </w:rPr>
        <w:t>（一）项目绩效目标完成情况分析</w:t>
      </w:r>
    </w:p>
    <w:p>
      <w:pPr>
        <w:spacing w:line="360" w:lineRule="auto"/>
        <w:ind w:firstLine="551" w:firstLineChars="19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1、公立医院药占比（不含中药饮片）测算</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2017药占比=</w:t>
      </w:r>
      <w:r>
        <w:rPr>
          <w:rFonts w:hint="eastAsia" w:asciiTheme="minorEastAsia" w:hAnsiTheme="minorEastAsia" w:eastAsiaTheme="minorEastAsia" w:cstheme="minorEastAsia"/>
          <w:sz w:val="28"/>
          <w:szCs w:val="28"/>
          <w:lang w:val="en-US" w:eastAsia="zh-CN"/>
        </w:rPr>
        <w:t>3640656.18</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16100693.11</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22.61</w:t>
      </w:r>
      <w:r>
        <w:rPr>
          <w:rFonts w:hint="eastAsia" w:asciiTheme="minorEastAsia" w:hAnsiTheme="minorEastAsia" w:eastAsiaTheme="minorEastAsia" w:cstheme="minorEastAsia"/>
          <w:sz w:val="28"/>
          <w:szCs w:val="28"/>
        </w:rPr>
        <w:t>%</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2018药占比=</w:t>
      </w:r>
      <w:r>
        <w:rPr>
          <w:rFonts w:hint="eastAsia" w:asciiTheme="minorEastAsia" w:hAnsiTheme="minorEastAsia" w:eastAsiaTheme="minorEastAsia" w:cstheme="minorEastAsia"/>
          <w:sz w:val="28"/>
          <w:szCs w:val="28"/>
          <w:lang w:val="en-US" w:eastAsia="zh-CN"/>
        </w:rPr>
        <w:t>3187272.13</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19926817.73</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16</w:t>
      </w:r>
      <w:r>
        <w:rPr>
          <w:rFonts w:hint="eastAsia" w:asciiTheme="minorEastAsia" w:hAnsiTheme="minorEastAsia" w:eastAsiaTheme="minorEastAsia" w:cstheme="minorEastAsia"/>
          <w:sz w:val="28"/>
          <w:szCs w:val="28"/>
        </w:rPr>
        <w:t>%</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测算结果显示，我院2017年药占比（不含中药饮片）‹=35%，且比2017年下降</w:t>
      </w:r>
      <w:r>
        <w:rPr>
          <w:rFonts w:hint="eastAsia" w:asciiTheme="minorEastAsia" w:hAnsiTheme="minorEastAsia" w:eastAsiaTheme="minorEastAsia" w:cstheme="minorEastAsia"/>
          <w:sz w:val="28"/>
          <w:szCs w:val="28"/>
          <w:lang w:val="en-US" w:eastAsia="zh-CN"/>
        </w:rPr>
        <w:t>6.61</w:t>
      </w:r>
      <w:r>
        <w:rPr>
          <w:rFonts w:hint="eastAsia" w:asciiTheme="minorEastAsia" w:hAnsiTheme="minorEastAsia" w:eastAsiaTheme="minorEastAsia" w:cstheme="minorEastAsia"/>
          <w:sz w:val="28"/>
          <w:szCs w:val="28"/>
        </w:rPr>
        <w:t>个百分点。</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中医民族医药</w:t>
      </w:r>
      <w:r>
        <w:rPr>
          <w:rFonts w:hint="eastAsia" w:asciiTheme="minorEastAsia" w:hAnsiTheme="minorEastAsia" w:eastAsiaTheme="minorEastAsia" w:cstheme="minorEastAsia"/>
          <w:sz w:val="28"/>
          <w:szCs w:val="28"/>
        </w:rPr>
        <w:t>支出占</w:t>
      </w:r>
      <w:r>
        <w:rPr>
          <w:rFonts w:hint="eastAsia" w:asciiTheme="minorEastAsia" w:hAnsiTheme="minorEastAsia" w:eastAsiaTheme="minorEastAsia" w:cstheme="minorEastAsia"/>
          <w:sz w:val="28"/>
          <w:szCs w:val="28"/>
          <w:lang w:eastAsia="zh-CN"/>
        </w:rPr>
        <w:t>总药品支出</w:t>
      </w:r>
      <w:r>
        <w:rPr>
          <w:rFonts w:hint="eastAsia" w:asciiTheme="minorEastAsia" w:hAnsiTheme="minorEastAsia" w:eastAsiaTheme="minorEastAsia" w:cstheme="minorEastAsia"/>
          <w:sz w:val="28"/>
          <w:szCs w:val="28"/>
        </w:rPr>
        <w:t>测算</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2017年</w:t>
      </w:r>
      <w:r>
        <w:rPr>
          <w:rFonts w:hint="eastAsia" w:asciiTheme="minorEastAsia" w:hAnsiTheme="minorEastAsia" w:eastAsiaTheme="minorEastAsia" w:cstheme="minorEastAsia"/>
          <w:sz w:val="28"/>
          <w:szCs w:val="28"/>
          <w:lang w:eastAsia="zh-CN"/>
        </w:rPr>
        <w:t>中医民族医药</w:t>
      </w:r>
      <w:r>
        <w:rPr>
          <w:rFonts w:hint="eastAsia" w:asciiTheme="minorEastAsia" w:hAnsiTheme="minorEastAsia" w:eastAsiaTheme="minorEastAsia" w:cstheme="minorEastAsia"/>
          <w:sz w:val="28"/>
          <w:szCs w:val="28"/>
        </w:rPr>
        <w:t>支出占</w:t>
      </w:r>
      <w:r>
        <w:rPr>
          <w:rFonts w:hint="eastAsia" w:asciiTheme="minorEastAsia" w:hAnsiTheme="minorEastAsia" w:eastAsiaTheme="minorEastAsia" w:cstheme="minorEastAsia"/>
          <w:sz w:val="28"/>
          <w:szCs w:val="28"/>
          <w:lang w:eastAsia="zh-CN"/>
        </w:rPr>
        <w:t>总药品支出比例</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1422150.4</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5062806.58</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28.09</w:t>
      </w:r>
      <w:r>
        <w:rPr>
          <w:rFonts w:hint="eastAsia" w:asciiTheme="minorEastAsia" w:hAnsiTheme="minorEastAsia" w:eastAsiaTheme="minorEastAsia" w:cstheme="minorEastAsia"/>
          <w:sz w:val="28"/>
          <w:szCs w:val="28"/>
        </w:rPr>
        <w:t>%</w:t>
      </w:r>
    </w:p>
    <w:p>
      <w:pPr>
        <w:spacing w:line="360" w:lineRule="auto"/>
        <w:ind w:left="559" w:leftChars="266" w:firstLine="0" w:firstLineChars="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w:t>
      </w:r>
      <w:r>
        <w:rPr>
          <w:rFonts w:hint="eastAsia" w:asciiTheme="minorEastAsia" w:hAnsiTheme="minorEastAsia" w:eastAsiaTheme="minorEastAsia" w:cstheme="minorEastAsia"/>
          <w:sz w:val="28"/>
          <w:szCs w:val="28"/>
          <w:lang w:val="en-US" w:eastAsia="zh-CN"/>
        </w:rPr>
        <w:t>8</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lang w:eastAsia="zh-CN"/>
        </w:rPr>
        <w:t>中医民族医药</w:t>
      </w:r>
      <w:r>
        <w:rPr>
          <w:rFonts w:hint="eastAsia" w:asciiTheme="minorEastAsia" w:hAnsiTheme="minorEastAsia" w:eastAsiaTheme="minorEastAsia" w:cstheme="minorEastAsia"/>
          <w:sz w:val="28"/>
          <w:szCs w:val="28"/>
        </w:rPr>
        <w:t>支出占</w:t>
      </w:r>
      <w:r>
        <w:rPr>
          <w:rFonts w:hint="eastAsia" w:asciiTheme="minorEastAsia" w:hAnsiTheme="minorEastAsia" w:eastAsiaTheme="minorEastAsia" w:cstheme="minorEastAsia"/>
          <w:sz w:val="28"/>
          <w:szCs w:val="28"/>
          <w:lang w:eastAsia="zh-CN"/>
        </w:rPr>
        <w:t>总药品支出比例</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1776973.59</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4964245.72</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35.8</w:t>
      </w:r>
      <w:r>
        <w:rPr>
          <w:rFonts w:hint="eastAsia" w:asciiTheme="minorEastAsia" w:hAnsiTheme="minorEastAsia" w:eastAsiaTheme="minorEastAsia" w:cstheme="minorEastAsia"/>
          <w:sz w:val="28"/>
          <w:szCs w:val="28"/>
        </w:rPr>
        <w:t>%</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测算结果显示，我院公立医院人员支出占比业务支出2018年占比较2017年占比</w:t>
      </w:r>
      <w:r>
        <w:rPr>
          <w:rFonts w:hint="eastAsia" w:asciiTheme="minorEastAsia" w:hAnsiTheme="minorEastAsia" w:eastAsiaTheme="minorEastAsia" w:cstheme="minorEastAsia"/>
          <w:sz w:val="28"/>
          <w:szCs w:val="28"/>
          <w:lang w:eastAsia="zh-CN"/>
        </w:rPr>
        <w:t>提升</w:t>
      </w:r>
      <w:r>
        <w:rPr>
          <w:rFonts w:hint="eastAsia" w:asciiTheme="minorEastAsia" w:hAnsiTheme="minorEastAsia" w:eastAsiaTheme="minorEastAsia" w:cstheme="minorEastAsia"/>
          <w:sz w:val="28"/>
          <w:szCs w:val="28"/>
          <w:lang w:val="en-US" w:eastAsia="zh-CN"/>
        </w:rPr>
        <w:t>7.71</w:t>
      </w:r>
      <w:r>
        <w:rPr>
          <w:rFonts w:hint="eastAsia" w:asciiTheme="minorEastAsia" w:hAnsiTheme="minorEastAsia" w:eastAsiaTheme="minorEastAsia" w:cstheme="minorEastAsia"/>
          <w:sz w:val="28"/>
          <w:szCs w:val="28"/>
        </w:rPr>
        <w:t>个百分点</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、公立医院百元医疗收入（不含药品收入）消耗的卫生材料测算</w:t>
      </w:r>
    </w:p>
    <w:p>
      <w:pPr>
        <w:spacing w:line="360" w:lineRule="auto"/>
        <w:ind w:firstLine="554" w:firstLineChars="19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2017年百元医疗收入（不含药品收入）消耗的卫生材料=</w:t>
      </w:r>
      <w:r>
        <w:rPr>
          <w:rFonts w:hint="eastAsia" w:asciiTheme="minorEastAsia" w:hAnsiTheme="minorEastAsia" w:eastAsiaTheme="minorEastAsia" w:cstheme="minorEastAsia"/>
          <w:sz w:val="28"/>
          <w:szCs w:val="28"/>
          <w:lang w:val="en-US" w:eastAsia="zh-CN"/>
        </w:rPr>
        <w:t>666732.69</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7917290.23</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8.4</w:t>
      </w:r>
      <w:r>
        <w:rPr>
          <w:rFonts w:hint="eastAsia" w:asciiTheme="minorEastAsia" w:hAnsiTheme="minorEastAsia" w:eastAsiaTheme="minorEastAsia" w:cstheme="minorEastAsia"/>
          <w:sz w:val="28"/>
          <w:szCs w:val="28"/>
        </w:rPr>
        <w:t>%</w:t>
      </w:r>
    </w:p>
    <w:p>
      <w:pPr>
        <w:spacing w:line="360" w:lineRule="auto"/>
        <w:ind w:firstLine="554" w:firstLineChars="19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2018年百元医疗收入（不含药品收入）消耗的卫生材料=</w:t>
      </w:r>
      <w:r>
        <w:rPr>
          <w:rFonts w:hint="eastAsia" w:asciiTheme="minorEastAsia" w:hAnsiTheme="minorEastAsia" w:eastAsiaTheme="minorEastAsia" w:cstheme="minorEastAsia"/>
          <w:sz w:val="28"/>
          <w:szCs w:val="28"/>
          <w:lang w:val="en-US" w:eastAsia="zh-CN"/>
        </w:rPr>
        <w:t>591803.98</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10837685.71</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5.46</w:t>
      </w:r>
      <w:r>
        <w:rPr>
          <w:rFonts w:hint="eastAsia" w:asciiTheme="minorEastAsia" w:hAnsiTheme="minorEastAsia" w:eastAsiaTheme="minorEastAsia" w:cstheme="minorEastAsia"/>
          <w:sz w:val="28"/>
          <w:szCs w:val="28"/>
        </w:rPr>
        <w:t>%</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测算结果显示，我院公立医院百元医疗收入（不含药品收入）消耗的卫生材料2018年较2017年</w:t>
      </w:r>
      <w:r>
        <w:rPr>
          <w:rFonts w:hint="eastAsia" w:asciiTheme="minorEastAsia" w:hAnsiTheme="minorEastAsia" w:eastAsiaTheme="minorEastAsia" w:cstheme="minorEastAsia"/>
          <w:sz w:val="28"/>
          <w:szCs w:val="28"/>
          <w:lang w:eastAsia="zh-CN"/>
        </w:rPr>
        <w:t>下降</w:t>
      </w:r>
      <w:r>
        <w:rPr>
          <w:rFonts w:hint="eastAsia" w:asciiTheme="minorEastAsia" w:hAnsiTheme="minorEastAsia" w:eastAsiaTheme="minorEastAsia" w:cstheme="minorEastAsia"/>
          <w:sz w:val="28"/>
          <w:szCs w:val="28"/>
        </w:rPr>
        <w:t>幅度为</w:t>
      </w:r>
      <w:r>
        <w:rPr>
          <w:rFonts w:hint="eastAsia" w:asciiTheme="minorEastAsia" w:hAnsiTheme="minorEastAsia" w:eastAsiaTheme="minorEastAsia" w:cstheme="minorEastAsia"/>
          <w:sz w:val="28"/>
          <w:szCs w:val="28"/>
          <w:lang w:val="en-US" w:eastAsia="zh-CN"/>
        </w:rPr>
        <w:t>2.94</w:t>
      </w:r>
      <w:r>
        <w:rPr>
          <w:rFonts w:hint="eastAsia" w:asciiTheme="minorEastAsia" w:hAnsiTheme="minorEastAsia" w:eastAsiaTheme="minorEastAsia" w:cstheme="minorEastAsia"/>
          <w:sz w:val="28"/>
          <w:szCs w:val="28"/>
        </w:rPr>
        <w:t>个百分点。</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、公立医院总体医疗服务收入占比测算</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2017年公立医院医疗服务收入（不含药品、卫材、化验）占比=</w:t>
      </w:r>
      <w:r>
        <w:rPr>
          <w:rFonts w:hint="eastAsia" w:asciiTheme="minorEastAsia" w:hAnsiTheme="minorEastAsia" w:eastAsiaTheme="minorEastAsia" w:cstheme="minorEastAsia"/>
          <w:sz w:val="28"/>
          <w:szCs w:val="28"/>
          <w:lang w:val="en-US" w:eastAsia="zh-CN"/>
        </w:rPr>
        <w:t>6830685.83</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16100693.11</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42.42</w:t>
      </w:r>
      <w:r>
        <w:rPr>
          <w:rFonts w:hint="eastAsia" w:asciiTheme="minorEastAsia" w:hAnsiTheme="minorEastAsia" w:eastAsiaTheme="minorEastAsia" w:cstheme="minorEastAsia"/>
          <w:sz w:val="28"/>
          <w:szCs w:val="28"/>
        </w:rPr>
        <w:t>%</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2018年公立医院医疗服务收入（不含药品、卫材、化验）占比=</w:t>
      </w:r>
      <w:r>
        <w:rPr>
          <w:rFonts w:hint="eastAsia" w:asciiTheme="minorEastAsia" w:hAnsiTheme="minorEastAsia" w:eastAsiaTheme="minorEastAsia" w:cstheme="minorEastAsia"/>
          <w:sz w:val="28"/>
          <w:szCs w:val="28"/>
          <w:lang w:val="en-US" w:eastAsia="zh-CN"/>
        </w:rPr>
        <w:t>8732530.33</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19926817.73</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43.82</w:t>
      </w:r>
      <w:r>
        <w:rPr>
          <w:rFonts w:hint="eastAsia" w:asciiTheme="minorEastAsia" w:hAnsiTheme="minorEastAsia" w:eastAsiaTheme="minorEastAsia" w:cstheme="minorEastAsia"/>
          <w:sz w:val="28"/>
          <w:szCs w:val="28"/>
        </w:rPr>
        <w:t>%</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测算结果显示，我院公立医院医疗服务收入（不含药品、卫材、化验）2018年占比较2017年占比增长</w:t>
      </w:r>
      <w:r>
        <w:rPr>
          <w:rFonts w:hint="eastAsia" w:asciiTheme="minorEastAsia" w:hAnsiTheme="minorEastAsia" w:eastAsiaTheme="minorEastAsia" w:cstheme="minorEastAsia"/>
          <w:sz w:val="28"/>
          <w:szCs w:val="28"/>
          <w:lang w:val="en-US" w:eastAsia="zh-CN"/>
        </w:rPr>
        <w:t>1.4</w:t>
      </w:r>
      <w:r>
        <w:rPr>
          <w:rFonts w:hint="eastAsia" w:asciiTheme="minorEastAsia" w:hAnsiTheme="minorEastAsia" w:eastAsiaTheme="minorEastAsia" w:cstheme="minorEastAsia"/>
          <w:sz w:val="28"/>
          <w:szCs w:val="28"/>
        </w:rPr>
        <w:t>个百分点。</w:t>
      </w:r>
    </w:p>
    <w:p>
      <w:pPr>
        <w:adjustRightInd w:val="0"/>
        <w:snapToGrid w:val="0"/>
        <w:spacing w:line="560" w:lineRule="exact"/>
        <w:ind w:firstLine="627" w:firstLineChars="200"/>
        <w:outlineLvl w:val="0"/>
        <w:rPr>
          <w:rFonts w:hint="eastAsia" w:asciiTheme="minorEastAsia" w:hAnsiTheme="minorEastAsia" w:eastAsiaTheme="minorEastAsia" w:cstheme="minorEastAsia"/>
          <w:b/>
          <w:spacing w:val="-4"/>
          <w:sz w:val="32"/>
          <w:szCs w:val="32"/>
        </w:rPr>
      </w:pPr>
      <w:r>
        <w:rPr>
          <w:rFonts w:hint="eastAsia" w:asciiTheme="minorEastAsia" w:hAnsiTheme="minorEastAsia" w:eastAsiaTheme="minorEastAsia" w:cstheme="minorEastAsia"/>
          <w:b/>
          <w:spacing w:val="-4"/>
          <w:sz w:val="32"/>
          <w:szCs w:val="32"/>
        </w:rPr>
        <w:t>（二）项目绩效目标未完成原因分析</w:t>
      </w:r>
    </w:p>
    <w:p>
      <w:pPr>
        <w:adjustRightInd w:val="0"/>
        <w:snapToGrid w:val="0"/>
        <w:spacing w:line="560" w:lineRule="exact"/>
        <w:ind w:firstLine="624" w:firstLineChars="200"/>
        <w:rPr>
          <w:rFonts w:hint="eastAsia" w:asciiTheme="minorEastAsia" w:hAnsiTheme="minorEastAsia" w:eastAsiaTheme="minorEastAsia" w:cstheme="minorEastAsia"/>
          <w:color w:val="000000" w:themeColor="text1"/>
          <w:spacing w:val="-4"/>
          <w:sz w:val="32"/>
          <w:szCs w:val="32"/>
        </w:rPr>
      </w:pPr>
      <w:r>
        <w:rPr>
          <w:rFonts w:hint="eastAsia" w:asciiTheme="minorEastAsia" w:hAnsiTheme="minorEastAsia" w:eastAsiaTheme="minorEastAsia" w:cstheme="minorEastAsia"/>
          <w:color w:val="000000" w:themeColor="text1"/>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19"/>
          <w:rFonts w:hint="eastAsia" w:asciiTheme="minorEastAsia" w:hAnsiTheme="minorEastAsia" w:eastAsiaTheme="minorEastAsia" w:cstheme="minorEastAsia"/>
          <w:b w:val="0"/>
          <w:spacing w:val="-4"/>
          <w:sz w:val="32"/>
          <w:szCs w:val="32"/>
        </w:rPr>
      </w:pPr>
      <w:r>
        <w:rPr>
          <w:rStyle w:val="19"/>
          <w:rFonts w:hint="eastAsia" w:asciiTheme="minorEastAsia" w:hAnsiTheme="minorEastAsia" w:eastAsiaTheme="minorEastAsia" w:cstheme="minorEastAsia"/>
          <w:b w:val="0"/>
          <w:spacing w:val="-4"/>
          <w:sz w:val="32"/>
          <w:szCs w:val="32"/>
        </w:rPr>
        <w:t>五、其他需要说明的问题</w:t>
      </w:r>
    </w:p>
    <w:p>
      <w:pPr>
        <w:adjustRightInd w:val="0"/>
        <w:snapToGrid w:val="0"/>
        <w:spacing w:line="560" w:lineRule="exact"/>
        <w:ind w:firstLine="627" w:firstLineChars="200"/>
        <w:outlineLvl w:val="0"/>
        <w:rPr>
          <w:rFonts w:hint="eastAsia" w:asciiTheme="minorEastAsia" w:hAnsiTheme="minorEastAsia" w:eastAsiaTheme="minorEastAsia" w:cstheme="minorEastAsia"/>
          <w:b/>
          <w:spacing w:val="-4"/>
          <w:sz w:val="32"/>
          <w:szCs w:val="32"/>
        </w:rPr>
      </w:pPr>
      <w:r>
        <w:rPr>
          <w:rFonts w:hint="eastAsia" w:asciiTheme="minorEastAsia" w:hAnsiTheme="minorEastAsia" w:eastAsiaTheme="minorEastAsia" w:cstheme="minorEastAsia"/>
          <w:b/>
          <w:spacing w:val="-4"/>
          <w:sz w:val="32"/>
          <w:szCs w:val="32"/>
        </w:rPr>
        <w:t>（一）主要经验及做法、存在问题和建议</w:t>
      </w:r>
    </w:p>
    <w:p>
      <w:pPr>
        <w:adjustRightInd w:val="0"/>
        <w:snapToGrid w:val="0"/>
        <w:spacing w:line="560" w:lineRule="exact"/>
        <w:ind w:firstLine="624" w:firstLineChars="200"/>
        <w:rPr>
          <w:rFonts w:hint="eastAsia" w:asciiTheme="minorEastAsia" w:hAnsiTheme="minorEastAsia" w:eastAsiaTheme="minorEastAsia" w:cstheme="minorEastAsia"/>
          <w:bCs/>
          <w:spacing w:val="-4"/>
          <w:sz w:val="32"/>
          <w:szCs w:val="32"/>
          <w:lang w:val="en-US" w:eastAsia="zh-CN"/>
        </w:rPr>
      </w:pPr>
      <w:r>
        <w:rPr>
          <w:rFonts w:hint="eastAsia" w:asciiTheme="minorEastAsia" w:hAnsiTheme="minorEastAsia" w:eastAsiaTheme="minorEastAsia" w:cstheme="minorEastAsia"/>
          <w:bCs/>
          <w:spacing w:val="-4"/>
          <w:sz w:val="32"/>
          <w:szCs w:val="32"/>
        </w:rPr>
        <w:t>1、主要经验及做法</w:t>
      </w:r>
      <w:r>
        <w:rPr>
          <w:rFonts w:hint="eastAsia" w:asciiTheme="minorEastAsia" w:hAnsiTheme="minorEastAsia" w:eastAsiaTheme="minorEastAsia" w:cstheme="minorEastAsia"/>
          <w:bCs/>
          <w:spacing w:val="-4"/>
          <w:sz w:val="32"/>
          <w:szCs w:val="32"/>
          <w:lang w:val="en-US" w:eastAsia="zh-CN"/>
        </w:rPr>
        <w:t xml:space="preserve">   </w:t>
      </w:r>
    </w:p>
    <w:p>
      <w:pPr>
        <w:adjustRightInd w:val="0"/>
        <w:snapToGrid w:val="0"/>
        <w:spacing w:line="560" w:lineRule="exact"/>
        <w:ind w:firstLine="624" w:firstLineChars="200"/>
        <w:rPr>
          <w:rFonts w:hint="eastAsia" w:asciiTheme="minorEastAsia" w:hAnsiTheme="minorEastAsia" w:eastAsiaTheme="minorEastAsia" w:cstheme="minorEastAsia"/>
          <w:bCs/>
          <w:spacing w:val="-4"/>
          <w:sz w:val="32"/>
          <w:szCs w:val="32"/>
          <w:lang w:val="en-US" w:eastAsia="zh-CN"/>
        </w:rPr>
      </w:pPr>
      <w:r>
        <w:rPr>
          <w:rFonts w:hint="eastAsia" w:asciiTheme="minorEastAsia" w:hAnsiTheme="minorEastAsia" w:eastAsiaTheme="minorEastAsia" w:cstheme="minorEastAsia"/>
          <w:bCs/>
          <w:spacing w:val="-4"/>
          <w:sz w:val="32"/>
          <w:szCs w:val="32"/>
        </w:rPr>
        <w:t>2、存在的问题</w:t>
      </w:r>
      <w:r>
        <w:rPr>
          <w:rFonts w:hint="eastAsia" w:asciiTheme="minorEastAsia" w:hAnsiTheme="minorEastAsia" w:eastAsiaTheme="minorEastAsia" w:cstheme="minorEastAsia"/>
          <w:bCs/>
          <w:spacing w:val="-4"/>
          <w:sz w:val="32"/>
          <w:szCs w:val="32"/>
          <w:lang w:val="en-US" w:eastAsia="zh-CN"/>
        </w:rPr>
        <w:t xml:space="preserve">  有关项目资金管理及账务处理存在很多疑问。</w:t>
      </w:r>
    </w:p>
    <w:p>
      <w:pPr>
        <w:adjustRightInd w:val="0"/>
        <w:snapToGrid w:val="0"/>
        <w:spacing w:line="560" w:lineRule="exact"/>
        <w:ind w:firstLine="624" w:firstLineChars="200"/>
        <w:rPr>
          <w:rFonts w:hint="eastAsia" w:asciiTheme="minorEastAsia" w:hAnsiTheme="minorEastAsia" w:eastAsiaTheme="minorEastAsia" w:cstheme="minorEastAsia"/>
          <w:bCs/>
          <w:spacing w:val="-4"/>
          <w:sz w:val="32"/>
          <w:szCs w:val="32"/>
          <w:lang w:val="en-US" w:eastAsia="zh-CN"/>
        </w:rPr>
      </w:pPr>
      <w:r>
        <w:rPr>
          <w:rFonts w:hint="eastAsia" w:asciiTheme="minorEastAsia" w:hAnsiTheme="minorEastAsia" w:eastAsiaTheme="minorEastAsia" w:cstheme="minorEastAsia"/>
          <w:bCs/>
          <w:spacing w:val="-4"/>
          <w:sz w:val="32"/>
          <w:szCs w:val="32"/>
        </w:rPr>
        <w:t>3、建议</w:t>
      </w:r>
      <w:r>
        <w:rPr>
          <w:rFonts w:hint="eastAsia" w:asciiTheme="minorEastAsia" w:hAnsiTheme="minorEastAsia" w:eastAsiaTheme="minorEastAsia" w:cstheme="minorEastAsia"/>
          <w:bCs/>
          <w:spacing w:val="-4"/>
          <w:sz w:val="32"/>
          <w:szCs w:val="32"/>
          <w:lang w:val="en-US" w:eastAsia="zh-CN"/>
        </w:rPr>
        <w:t xml:space="preserve">  多一些有关于项目资金收付使用，财务账务处理的培训；今后在通知财务人员下达各项财务工作任务时，有必要通知单位领导也参加。</w:t>
      </w:r>
    </w:p>
    <w:p>
      <w:pPr>
        <w:adjustRightInd w:val="0"/>
        <w:snapToGrid w:val="0"/>
        <w:spacing w:line="560" w:lineRule="exact"/>
        <w:ind w:firstLine="627" w:firstLineChars="200"/>
        <w:outlineLvl w:val="0"/>
        <w:rPr>
          <w:rFonts w:hint="eastAsia" w:asciiTheme="minorEastAsia" w:hAnsiTheme="minorEastAsia" w:eastAsiaTheme="minorEastAsia" w:cstheme="minorEastAsia"/>
          <w:b/>
          <w:spacing w:val="-4"/>
          <w:sz w:val="32"/>
          <w:szCs w:val="32"/>
        </w:rPr>
      </w:pPr>
      <w:r>
        <w:rPr>
          <w:rFonts w:hint="eastAsia" w:asciiTheme="minorEastAsia" w:hAnsiTheme="minorEastAsia" w:eastAsiaTheme="minorEastAsia" w:cstheme="minorEastAsia"/>
          <w:b/>
          <w:spacing w:val="-4"/>
          <w:sz w:val="32"/>
          <w:szCs w:val="32"/>
        </w:rPr>
        <w:t>（</w:t>
      </w:r>
      <w:r>
        <w:rPr>
          <w:rFonts w:hint="eastAsia" w:asciiTheme="minorEastAsia" w:hAnsiTheme="minorEastAsia" w:eastAsiaTheme="minorEastAsia" w:cstheme="minorEastAsia"/>
          <w:b/>
          <w:spacing w:val="-4"/>
          <w:sz w:val="32"/>
          <w:szCs w:val="32"/>
          <w:lang w:eastAsia="zh-CN"/>
        </w:rPr>
        <w:t>二</w:t>
      </w:r>
      <w:r>
        <w:rPr>
          <w:rFonts w:hint="eastAsia" w:asciiTheme="minorEastAsia" w:hAnsiTheme="minorEastAsia" w:eastAsiaTheme="minorEastAsia" w:cstheme="minorEastAsia"/>
          <w:b/>
          <w:spacing w:val="-4"/>
          <w:sz w:val="32"/>
          <w:szCs w:val="32"/>
        </w:rPr>
        <w:t>）其他</w:t>
      </w:r>
    </w:p>
    <w:p>
      <w:pPr>
        <w:adjustRightInd w:val="0"/>
        <w:snapToGrid w:val="0"/>
        <w:spacing w:line="560" w:lineRule="exact"/>
        <w:ind w:firstLine="624" w:firstLineChars="200"/>
        <w:rPr>
          <w:rFonts w:hint="eastAsia" w:asciiTheme="minorEastAsia" w:hAnsiTheme="minorEastAsia" w:eastAsiaTheme="minorEastAsia" w:cstheme="minorEastAsia"/>
          <w:color w:val="000000" w:themeColor="text1"/>
          <w:spacing w:val="-4"/>
          <w:sz w:val="32"/>
          <w:szCs w:val="32"/>
        </w:rPr>
      </w:pPr>
      <w:r>
        <w:rPr>
          <w:rFonts w:hint="eastAsia" w:asciiTheme="minorEastAsia" w:hAnsiTheme="minorEastAsia" w:eastAsiaTheme="minorEastAsia" w:cstheme="minorEastAsia"/>
          <w:color w:val="000000" w:themeColor="text1"/>
          <w:spacing w:val="-4"/>
          <w:sz w:val="32"/>
          <w:szCs w:val="32"/>
        </w:rPr>
        <w:t>无其他说明内容</w:t>
      </w:r>
    </w:p>
    <w:p>
      <w:pPr>
        <w:adjustRightInd w:val="0"/>
        <w:snapToGrid w:val="0"/>
        <w:spacing w:line="560" w:lineRule="exact"/>
        <w:ind w:firstLine="624" w:firstLineChars="200"/>
        <w:outlineLvl w:val="0"/>
        <w:rPr>
          <w:rFonts w:hint="eastAsia" w:asciiTheme="minorEastAsia" w:hAnsiTheme="minorEastAsia" w:eastAsiaTheme="minorEastAsia" w:cstheme="minorEastAsia"/>
          <w:bCs/>
          <w:spacing w:val="-4"/>
          <w:sz w:val="32"/>
          <w:szCs w:val="32"/>
        </w:rPr>
      </w:pPr>
      <w:r>
        <w:rPr>
          <w:rStyle w:val="19"/>
          <w:rFonts w:hint="eastAsia" w:asciiTheme="minorEastAsia" w:hAnsiTheme="minorEastAsia" w:eastAsiaTheme="minorEastAsia" w:cstheme="minorEastAsia"/>
          <w:b w:val="0"/>
          <w:spacing w:val="-4"/>
          <w:sz w:val="32"/>
          <w:szCs w:val="32"/>
        </w:rPr>
        <w:t>六、项目评价工作情况</w:t>
      </w:r>
    </w:p>
    <w:p>
      <w:pPr>
        <w:adjustRightInd w:val="0"/>
        <w:snapToGrid w:val="0"/>
        <w:spacing w:line="560" w:lineRule="exact"/>
        <w:ind w:firstLine="624" w:firstLineChars="200"/>
        <w:rPr>
          <w:rFonts w:hint="eastAsia" w:asciiTheme="minorEastAsia" w:hAnsiTheme="minorEastAsia" w:eastAsiaTheme="minorEastAsia" w:cstheme="minorEastAsia"/>
          <w:spacing w:val="-4"/>
          <w:sz w:val="32"/>
          <w:szCs w:val="32"/>
        </w:rPr>
      </w:pPr>
      <w:r>
        <w:rPr>
          <w:rFonts w:hint="eastAsia" w:asciiTheme="minorEastAsia" w:hAnsiTheme="minorEastAsia" w:eastAsiaTheme="minorEastAsia" w:cstheme="minorEastAsia"/>
          <w:spacing w:val="-4"/>
          <w:sz w:val="32"/>
          <w:szCs w:val="32"/>
        </w:rPr>
        <w:t>本次评价通过文件研读、实地调研、数据分析等方式，全面了解英吉沙县人民医院医改专项资金的使用效率和效果、项目支出管理过程是否规范，是否完成了预期绩效目标等。同时，通过开展自我评价来总结经验和教训，为顺利持续实施喀什地区英吉沙县人民医院医改专项资金支出的工作奠定基础。</w:t>
      </w:r>
    </w:p>
    <w:p>
      <w:pPr>
        <w:adjustRightInd w:val="0"/>
        <w:snapToGrid w:val="0"/>
        <w:spacing w:line="560" w:lineRule="exact"/>
        <w:ind w:firstLine="624" w:firstLineChars="200"/>
        <w:outlineLvl w:val="0"/>
        <w:rPr>
          <w:rStyle w:val="19"/>
          <w:rFonts w:hint="eastAsia" w:asciiTheme="minorEastAsia" w:hAnsiTheme="minorEastAsia" w:eastAsiaTheme="minorEastAsia" w:cstheme="minorEastAsia"/>
          <w:b w:val="0"/>
          <w:spacing w:val="-4"/>
          <w:sz w:val="32"/>
          <w:szCs w:val="32"/>
        </w:rPr>
      </w:pPr>
      <w:r>
        <w:rPr>
          <w:rStyle w:val="19"/>
          <w:rFonts w:hint="eastAsia" w:asciiTheme="minorEastAsia" w:hAnsiTheme="minorEastAsia" w:eastAsiaTheme="minorEastAsia" w:cstheme="minorEastAsia"/>
          <w:b w:val="0"/>
          <w:spacing w:val="-4"/>
          <w:sz w:val="32"/>
          <w:szCs w:val="32"/>
        </w:rPr>
        <w:t>七、附表</w:t>
      </w:r>
    </w:p>
    <w:p>
      <w:pPr>
        <w:adjustRightInd w:val="0"/>
        <w:snapToGrid w:val="0"/>
        <w:spacing w:line="560" w:lineRule="exact"/>
        <w:ind w:firstLine="624" w:firstLineChars="200"/>
        <w:rPr>
          <w:rStyle w:val="19"/>
          <w:rFonts w:hint="eastAsia" w:asciiTheme="minorEastAsia" w:hAnsiTheme="minorEastAsia" w:eastAsiaTheme="minorEastAsia" w:cstheme="minorEastAsia"/>
          <w:b w:val="0"/>
          <w:spacing w:val="-4"/>
          <w:sz w:val="32"/>
          <w:szCs w:val="32"/>
        </w:rPr>
      </w:pPr>
      <w:r>
        <w:rPr>
          <w:rStyle w:val="19"/>
          <w:rFonts w:hint="eastAsia" w:asciiTheme="minorEastAsia" w:hAnsiTheme="minorEastAsia" w:eastAsiaTheme="minorEastAsia" w:cstheme="minorEastAsia"/>
          <w:b w:val="0"/>
          <w:spacing w:val="-4"/>
          <w:sz w:val="32"/>
          <w:szCs w:val="32"/>
        </w:rPr>
        <w:t>《项目支出绩效目标自评表》</w:t>
      </w:r>
    </w:p>
    <w:p>
      <w:pPr>
        <w:adjustRightInd w:val="0"/>
        <w:snapToGrid w:val="0"/>
        <w:spacing w:line="560" w:lineRule="exact"/>
        <w:ind w:firstLine="624" w:firstLineChars="200"/>
        <w:rPr>
          <w:rStyle w:val="19"/>
          <w:rFonts w:hint="eastAsia" w:asciiTheme="minorEastAsia" w:hAnsiTheme="minorEastAsia" w:eastAsiaTheme="minorEastAsia" w:cstheme="minorEastAsia"/>
          <w:b w:val="0"/>
          <w:spacing w:val="-4"/>
          <w:sz w:val="32"/>
          <w:szCs w:val="32"/>
        </w:rPr>
      </w:pPr>
    </w:p>
    <w:p>
      <w:pPr>
        <w:adjustRightInd w:val="0"/>
        <w:snapToGrid w:val="0"/>
        <w:spacing w:line="560" w:lineRule="exact"/>
        <w:ind w:firstLine="624" w:firstLineChars="200"/>
        <w:rPr>
          <w:rStyle w:val="19"/>
          <w:rFonts w:hint="eastAsia" w:asciiTheme="minorEastAsia" w:hAnsiTheme="minorEastAsia" w:eastAsiaTheme="minorEastAsia" w:cstheme="minorEastAsia"/>
          <w:b w:val="0"/>
          <w:spacing w:val="-4"/>
          <w:sz w:val="32"/>
          <w:szCs w:val="32"/>
        </w:rPr>
      </w:pPr>
    </w:p>
    <w:p>
      <w:pPr>
        <w:adjustRightInd w:val="0"/>
        <w:snapToGrid w:val="0"/>
        <w:spacing w:line="560" w:lineRule="exact"/>
        <w:ind w:firstLine="624" w:firstLineChars="200"/>
        <w:jc w:val="right"/>
        <w:rPr>
          <w:rStyle w:val="19"/>
          <w:rFonts w:hint="eastAsia" w:asciiTheme="minorEastAsia" w:hAnsiTheme="minorEastAsia" w:eastAsiaTheme="minorEastAsia" w:cstheme="minorEastAsia"/>
          <w:b w:val="0"/>
          <w:spacing w:val="-4"/>
          <w:sz w:val="32"/>
          <w:szCs w:val="32"/>
          <w:lang w:eastAsia="zh-CN"/>
        </w:rPr>
      </w:pPr>
      <w:r>
        <w:rPr>
          <w:rStyle w:val="19"/>
          <w:rFonts w:hint="eastAsia" w:asciiTheme="minorEastAsia" w:hAnsiTheme="minorEastAsia" w:eastAsiaTheme="minorEastAsia" w:cstheme="minorEastAsia"/>
          <w:b w:val="0"/>
          <w:spacing w:val="-4"/>
          <w:sz w:val="32"/>
          <w:szCs w:val="32"/>
          <w:lang w:eastAsia="zh-CN"/>
        </w:rPr>
        <w:t>英吉沙县维吾尔医医院</w:t>
      </w:r>
    </w:p>
    <w:p>
      <w:pPr>
        <w:adjustRightInd w:val="0"/>
        <w:snapToGrid w:val="0"/>
        <w:spacing w:line="560" w:lineRule="exact"/>
        <w:ind w:firstLine="624" w:firstLineChars="200"/>
        <w:jc w:val="right"/>
        <w:rPr>
          <w:rStyle w:val="19"/>
          <w:rFonts w:hint="eastAsia" w:asciiTheme="minorEastAsia" w:hAnsiTheme="minorEastAsia" w:eastAsiaTheme="minorEastAsia" w:cstheme="minorEastAsia"/>
          <w:b w:val="0"/>
          <w:spacing w:val="-4"/>
          <w:sz w:val="32"/>
          <w:szCs w:val="32"/>
          <w:lang w:val="en-US" w:eastAsia="zh-CN"/>
        </w:rPr>
      </w:pPr>
      <w:r>
        <w:rPr>
          <w:rStyle w:val="19"/>
          <w:rFonts w:hint="eastAsia" w:asciiTheme="minorEastAsia" w:hAnsiTheme="minorEastAsia" w:eastAsiaTheme="minorEastAsia" w:cstheme="minorEastAsia"/>
          <w:b w:val="0"/>
          <w:spacing w:val="-4"/>
          <w:sz w:val="32"/>
          <w:szCs w:val="32"/>
          <w:lang w:val="en-US" w:eastAsia="zh-CN"/>
        </w:rPr>
        <w:t>2019年01月31日</w:t>
      </w:r>
    </w:p>
    <w:p>
      <w:pPr>
        <w:adjustRightInd w:val="0"/>
        <w:snapToGrid w:val="0"/>
        <w:spacing w:line="560" w:lineRule="exact"/>
        <w:ind w:firstLine="627" w:firstLineChars="200"/>
        <w:rPr>
          <w:rStyle w:val="19"/>
          <w:rFonts w:hint="eastAsia" w:asciiTheme="minorEastAsia" w:hAnsiTheme="minorEastAsia" w:eastAsiaTheme="minorEastAsia" w:cstheme="minorEastAsia"/>
          <w:spacing w:val="-4"/>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3FF8D5"/>
    <w:multiLevelType w:val="singleLevel"/>
    <w:tmpl w:val="DE3FF8D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1AB904FA"/>
    <w:rsid w:val="23716EBF"/>
    <w:rsid w:val="2BBD4DA6"/>
    <w:rsid w:val="2FD441E1"/>
    <w:rsid w:val="3F957794"/>
    <w:rsid w:val="7326488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2</TotalTime>
  <ScaleCrop>false</ScaleCrop>
  <LinksUpToDate>false</LinksUpToDate>
  <CharactersWithSpaces>2449</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玲</cp:lastModifiedBy>
  <cp:lastPrinted>2018-12-17T10:15:00Z</cp:lastPrinted>
  <dcterms:modified xsi:type="dcterms:W3CDTF">2019-08-23T02:43:19Z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